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 Feb–03 Ma</w:t>
      </w:r>
      <w:r>
        <w:rPr>
          <w:rFonts w:hint="eastAsia" w:ascii="Arial" w:hAnsi="Arial" w:eastAsia="宋体" w:cs="Arial"/>
          <w:b/>
          <w:bCs/>
          <w:sz w:val="24"/>
          <w:szCs w:val="24"/>
          <w:lang w:val="en-US" w:eastAsia="zh-CN"/>
        </w:rPr>
        <w:t>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w:t>
      </w:r>
      <w:bookmarkEnd w:id="0"/>
      <w:r>
        <w:rPr>
          <w:rFonts w:hint="eastAsia" w:eastAsia="宋体"/>
          <w:color w:val="auto"/>
          <w:sz w:val="24"/>
          <w:lang w:val="en-US" w:eastAsia="zh-CN"/>
        </w:rPr>
        <w:t>Additional requirement for multi-panel reception</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10.19.2.1</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101 and 101bis e-meeting, two WFs [1] [2] were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1" w:name="OLE_LINK1"/>
            <w:r>
              <w:rPr>
                <w:rFonts w:hint="eastAsia" w:eastAsia="宋体"/>
                <w:b/>
                <w:bCs/>
                <w:color w:val="auto"/>
                <w:sz w:val="21"/>
                <w:szCs w:val="21"/>
                <w:vertAlign w:val="baseline"/>
                <w:lang w:val="en-US" w:eastAsia="zh-CN"/>
              </w:rPr>
              <w:t>Impact for multi-panel reception[1]</w:t>
            </w:r>
          </w:p>
          <w:bookmarkEnd w:id="1"/>
          <w:p>
            <w:pPr>
              <w:numPr>
                <w:ilvl w:val="0"/>
                <w:numId w:val="4"/>
              </w:numPr>
              <w:ind w:left="840" w:leftChars="0" w:hanging="420" w:firstLineChars="0"/>
              <w:rPr>
                <w:rFonts w:hint="default"/>
                <w:lang w:val="en-US" w:eastAsia="zh-CN"/>
              </w:rPr>
            </w:pPr>
            <w:bookmarkStart w:id="2" w:name="_Hlk87542642"/>
            <w:r>
              <w:rPr>
                <w:rFonts w:hint="default"/>
                <w:lang w:val="en-US" w:eastAsia="zh-CN"/>
              </w:rPr>
              <w:t xml:space="preserve">For the rest of Rel-17 RAN4 meetings, RAN4 focuses on finding out the requirements to verify the simultaneous reception with multi-panels from multi-TRPs </w:t>
            </w:r>
          </w:p>
          <w:p>
            <w:pPr>
              <w:numPr>
                <w:ilvl w:val="0"/>
                <w:numId w:val="4"/>
              </w:numPr>
              <w:ind w:left="840" w:leftChars="0" w:hanging="420" w:firstLineChars="0"/>
              <w:rPr>
                <w:rFonts w:hint="default"/>
                <w:lang w:val="en-US" w:eastAsia="zh-CN"/>
              </w:rPr>
            </w:pPr>
            <w:r>
              <w:rPr>
                <w:rFonts w:hint="default"/>
                <w:lang w:val="en-US" w:eastAsia="zh-CN"/>
              </w:rPr>
              <w:t>Companies are encouraged to provide views on following conditions</w:t>
            </w:r>
          </w:p>
          <w:p>
            <w:pPr>
              <w:numPr>
                <w:ilvl w:val="0"/>
                <w:numId w:val="5"/>
              </w:numPr>
              <w:ind w:left="1260" w:leftChars="0" w:hanging="420" w:firstLineChars="0"/>
              <w:rPr>
                <w:rFonts w:hint="default"/>
                <w:lang w:val="en-US" w:eastAsia="zh-CN"/>
              </w:rPr>
            </w:pPr>
            <w:r>
              <w:rPr>
                <w:rFonts w:hint="default"/>
                <w:lang w:val="en-US" w:eastAsia="zh-CN"/>
              </w:rPr>
              <w:t>Test system and environment</w:t>
            </w:r>
          </w:p>
          <w:p>
            <w:pPr>
              <w:numPr>
                <w:ilvl w:val="0"/>
                <w:numId w:val="5"/>
              </w:numPr>
              <w:ind w:left="1260" w:leftChars="0" w:hanging="420" w:firstLineChars="0"/>
              <w:rPr>
                <w:rFonts w:hint="default"/>
                <w:lang w:val="en-US" w:eastAsia="zh-CN"/>
              </w:rPr>
            </w:pPr>
            <w:r>
              <w:rPr>
                <w:rFonts w:hint="default"/>
                <w:lang w:val="en-US" w:eastAsia="zh-CN"/>
              </w:rPr>
              <w:t xml:space="preserve">Type of the requirement </w:t>
            </w:r>
          </w:p>
          <w:p>
            <w:pPr>
              <w:numPr>
                <w:ilvl w:val="0"/>
                <w:numId w:val="6"/>
              </w:numPr>
              <w:ind w:left="840" w:leftChars="0" w:hanging="420" w:firstLineChars="0"/>
              <w:rPr>
                <w:rFonts w:hint="default" w:ascii="Times New Roman" w:hAnsi="Times New Roman" w:cs="Times New Roman"/>
                <w:sz w:val="20"/>
                <w:szCs w:val="20"/>
                <w:lang w:val="en-US" w:eastAsia="zh-CN"/>
              </w:rPr>
            </w:pPr>
            <w:r>
              <w:rPr>
                <w:rFonts w:hint="default"/>
                <w:lang w:val="en-US" w:eastAsia="zh-CN"/>
              </w:rPr>
              <w:t xml:space="preserve">In RAN4#101-bis-e, RAN4 will conclude if specifying additional requirements within Rel-17 is necessary and feasible </w:t>
            </w:r>
            <w:bookmarkEnd w:id="2"/>
            <w:r>
              <w:rPr>
                <w:rFonts w:ascii="Times New Roman" w:hAnsi="Times New Roman" w:cs="Times New Roman"/>
                <w:sz w:val="20"/>
                <w:szCs w:val="20"/>
                <w:highlight w:val="none"/>
              </w:rPr>
              <w:t xml:space="preserve">  </w:t>
            </w:r>
          </w:p>
          <w:p>
            <w:pPr>
              <w:numPr>
                <w:ilvl w:val="0"/>
                <w:numId w:val="0"/>
              </w:numPr>
              <w:rPr>
                <w:rFonts w:hint="eastAsia" w:eastAsia="宋体"/>
                <w:b/>
                <w:bCs/>
                <w:color w:val="auto"/>
                <w:sz w:val="21"/>
                <w:szCs w:val="21"/>
                <w:vertAlign w:val="baseline"/>
                <w:lang w:val="en-US" w:eastAsia="zh-CN"/>
              </w:rPr>
            </w:pPr>
            <w:bookmarkStart w:id="3" w:name="_Hlk92917605"/>
            <w:r>
              <w:rPr>
                <w:rFonts w:hint="eastAsia" w:eastAsia="宋体"/>
                <w:b/>
                <w:bCs/>
                <w:color w:val="auto"/>
                <w:sz w:val="21"/>
                <w:szCs w:val="21"/>
                <w:vertAlign w:val="baseline"/>
                <w:lang w:val="en-US" w:eastAsia="ja-JP"/>
              </w:rPr>
              <w:t>Simultaneous multi-panel reception with different QCL type-D</w:t>
            </w:r>
            <w:bookmarkEnd w:id="3"/>
            <w:r>
              <w:rPr>
                <w:rFonts w:hint="eastAsia" w:eastAsia="宋体"/>
                <w:b/>
                <w:bCs/>
                <w:color w:val="auto"/>
                <w:sz w:val="21"/>
                <w:szCs w:val="21"/>
                <w:vertAlign w:val="baseline"/>
                <w:lang w:val="en-US" w:eastAsia="ja-JP"/>
              </w:rPr>
              <w:t xml:space="preserve"> (RF/RRM)</w:t>
            </w:r>
            <w:r>
              <w:rPr>
                <w:rFonts w:hint="eastAsia" w:eastAsia="宋体"/>
                <w:b/>
                <w:bCs/>
                <w:color w:val="auto"/>
                <w:sz w:val="21"/>
                <w:szCs w:val="21"/>
                <w:vertAlign w:val="baseline"/>
                <w:lang w:val="en-US" w:eastAsia="zh-CN"/>
              </w:rPr>
              <w:t>[2]</w:t>
            </w:r>
          </w:p>
          <w:p>
            <w:pPr>
              <w:numPr>
                <w:ilvl w:val="0"/>
                <w:numId w:val="4"/>
              </w:numPr>
              <w:ind w:left="840" w:leftChars="0" w:hanging="420" w:firstLineChars="0"/>
              <w:rPr>
                <w:rFonts w:hint="default"/>
                <w:lang w:val="en-US" w:eastAsia="ko-KR"/>
              </w:rPr>
            </w:pPr>
            <w:r>
              <w:rPr>
                <w:rFonts w:hint="eastAsia"/>
                <w:lang w:val="en-US" w:eastAsia="ko-KR"/>
              </w:rPr>
              <w:t>R</w:t>
            </w:r>
            <w:r>
              <w:rPr>
                <w:rFonts w:hint="default"/>
                <w:lang w:val="en-US" w:eastAsia="ko-KR"/>
              </w:rPr>
              <w:t xml:space="preserve">AN4 will have a further discussion on multi-panel simultaneous reception with different QCL type-D until next meeting </w:t>
            </w:r>
          </w:p>
          <w:p>
            <w:pPr>
              <w:numPr>
                <w:ilvl w:val="0"/>
                <w:numId w:val="4"/>
              </w:numPr>
              <w:ind w:left="840" w:leftChars="0" w:hanging="420" w:firstLineChars="0"/>
              <w:rPr>
                <w:rFonts w:hint="default"/>
                <w:lang w:val="en-US" w:eastAsia="ko-KR"/>
              </w:rPr>
            </w:pPr>
            <w:r>
              <w:rPr>
                <w:rFonts w:hint="default"/>
                <w:lang w:val="en-US" w:eastAsia="ko-KR"/>
              </w:rPr>
              <w:t>Companies are encouraged to provide a concrete proposal considering the time limitation of Rel-17 and potential RAN4-led WI of Rel-18 to the next meeting</w:t>
            </w:r>
          </w:p>
          <w:p>
            <w:pPr>
              <w:numPr>
                <w:ilvl w:val="0"/>
                <w:numId w:val="4"/>
              </w:numPr>
              <w:ind w:left="840" w:leftChars="0" w:hanging="420" w:firstLineChars="0"/>
              <w:rPr>
                <w:rFonts w:hint="default" w:eastAsia="宋体"/>
                <w:b/>
                <w:bCs/>
                <w:color w:val="auto"/>
                <w:sz w:val="21"/>
                <w:szCs w:val="21"/>
                <w:vertAlign w:val="baseline"/>
                <w:lang w:val="en-US" w:eastAsia="zh-CN"/>
              </w:rPr>
            </w:pPr>
            <w:r>
              <w:rPr>
                <w:rFonts w:hint="default"/>
                <w:lang w:val="en-US" w:eastAsia="ko-KR"/>
              </w:rPr>
              <w:t>RAN4 requirements including RF,RRM and Demod will not be defined in Rel-17 if the group does not reach a consensus in RAN4#102-e</w:t>
            </w:r>
          </w:p>
        </w:tc>
      </w:tr>
    </w:tbl>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101 and 101bis e-meetings, we will provide our further analysis focus on the RF and RRM impacts of multi-panel reception.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in order to support multi-TRP scenario, some enhancements for receiving beam/panel were achieved:</w:t>
      </w:r>
    </w:p>
    <w:p>
      <w:pPr>
        <w:numPr>
          <w:ilvl w:val="0"/>
          <w:numId w:val="7"/>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7"/>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But no enhanced RAN4 requirements were defined for FR2 UEs. Theoretically, if the UE can receive signals by multiple panels at the same time, the EIS sphere coverage of the receiver requirements needs to be enhanced possibly, but Rel-16 does not introduce any enhancement for the use case of multi-TRP scenario.</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the enhancement of FR2 inter-band CA with IBM/CBM was also discussed. The following enhancement were achieved:</w:t>
      </w:r>
    </w:p>
    <w:p>
      <w:pPr>
        <w:numPr>
          <w:ilvl w:val="0"/>
          <w:numId w:val="7"/>
        </w:numPr>
        <w:tabs>
          <w:tab w:val="clear" w:pos="420"/>
        </w:tabs>
        <w:ind w:left="840" w:leftChars="0" w:hanging="420" w:firstLineChars="0"/>
        <w:jc w:val="both"/>
        <w:rPr>
          <w:rFonts w:hint="default"/>
          <w:lang w:val="en-US" w:eastAsia="zh-CN"/>
        </w:rPr>
      </w:pPr>
      <w:r>
        <w:rPr>
          <w:rFonts w:hint="eastAsia"/>
          <w:lang w:val="en-US" w:eastAsia="zh-CN"/>
        </w:rPr>
        <w:t xml:space="preserve">Support of IBM and CBM framework with simultaneous reception on different component carriers from the co-located and non-col-located TRPs was defined in RAN4. The corresponding UE capability is </w:t>
      </w:r>
      <w:r>
        <w:rPr>
          <w:b/>
          <w:i/>
        </w:rPr>
        <w:t>beamManagementType-r16</w:t>
      </w:r>
      <w:r>
        <w:rPr>
          <w:rFonts w:hint="eastAsia"/>
          <w:lang w:val="en-US" w:eastAsia="zh-CN"/>
        </w:rPr>
        <w:t>;</w:t>
      </w:r>
    </w:p>
    <w:p>
      <w:pPr>
        <w:numPr>
          <w:ilvl w:val="0"/>
          <w:numId w:val="7"/>
        </w:numPr>
        <w:tabs>
          <w:tab w:val="clear" w:pos="420"/>
        </w:tabs>
        <w:ind w:left="840" w:leftChars="0" w:hanging="420" w:firstLineChars="0"/>
        <w:jc w:val="both"/>
        <w:rPr>
          <w:rFonts w:hint="eastAsia"/>
          <w:lang w:val="en-US" w:eastAsia="zh-CN"/>
        </w:rPr>
      </w:pPr>
      <w:r>
        <w:rPr>
          <w:rFonts w:hint="eastAsia"/>
          <w:lang w:val="en-US" w:eastAsia="zh-CN"/>
        </w:rPr>
        <w:t>IBM concept implies simultaneous reception on different UE panels using separate beams on different component carriers and requires improved UE baseband and RF capabilities(multiple BB chains and support of multiple antenna panels);</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From the perspective of UE reception, we believe the operation of UE is very similar between multi-panel receiving for multi-TRP scenario and for co-located inter-band CA with IBM case. So the discuss of EIS spherical coverage requirement enhancement during Rel-16 inter-band CA can be as a good reference for our discuss here.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strike w:val="0"/>
          <w:dstrike w:val="0"/>
          <w:color w:val="auto"/>
          <w:sz w:val="21"/>
          <w:szCs w:val="21"/>
          <w:lang w:val="en-US" w:eastAsia="zh-CN"/>
        </w:rPr>
        <w:t xml:space="preserve">Overview the </w:t>
      </w:r>
      <w:r>
        <w:rPr>
          <w:rFonts w:hint="eastAsia" w:eastAsia="宋体"/>
          <w:strike w:val="0"/>
          <w:dstrike w:val="0"/>
          <w:color w:val="auto"/>
          <w:sz w:val="21"/>
          <w:szCs w:val="21"/>
          <w:highlight w:val="none"/>
          <w:lang w:val="en-US" w:eastAsia="zh-CN"/>
        </w:rPr>
        <w:t>Rel-16 CA</w:t>
      </w:r>
      <w:r>
        <w:rPr>
          <w:rFonts w:hint="default" w:eastAsia="宋体"/>
          <w:strike w:val="0"/>
          <w:dstrike w:val="0"/>
          <w:color w:val="auto"/>
          <w:sz w:val="21"/>
          <w:szCs w:val="21"/>
          <w:highlight w:val="none"/>
          <w:lang w:val="en-US" w:eastAsia="zh-CN"/>
        </w:rPr>
        <w:t xml:space="preserve"> discussion</w:t>
      </w:r>
      <w:r>
        <w:rPr>
          <w:rFonts w:hint="eastAsia" w:eastAsia="宋体"/>
          <w:strike w:val="0"/>
          <w:color w:val="auto"/>
          <w:sz w:val="21"/>
          <w:szCs w:val="21"/>
          <w:lang w:val="en-US" w:eastAsia="zh-CN"/>
        </w:rPr>
        <w:t>,</w:t>
      </w:r>
      <w:r>
        <w:rPr>
          <w:rFonts w:hint="eastAsia" w:eastAsia="宋体"/>
          <w:color w:val="auto"/>
          <w:sz w:val="21"/>
          <w:szCs w:val="21"/>
          <w:lang w:val="en-US" w:eastAsia="zh-CN"/>
        </w:rPr>
        <w:t xml:space="preserve"> the</w:t>
      </w:r>
      <w:r>
        <w:rPr>
          <w:rFonts w:hint="default" w:eastAsia="宋体"/>
          <w:color w:val="auto"/>
          <w:sz w:val="21"/>
          <w:szCs w:val="21"/>
          <w:lang w:val="en-US" w:eastAsia="zh-CN"/>
        </w:rPr>
        <w:t xml:space="preserve"> relaxation</w:t>
      </w:r>
      <w:r>
        <w:rPr>
          <w:rFonts w:hint="eastAsia" w:eastAsia="宋体"/>
          <w:color w:val="auto"/>
          <w:sz w:val="21"/>
          <w:szCs w:val="21"/>
          <w:lang w:val="en-US" w:eastAsia="zh-CN"/>
        </w:rPr>
        <w:t xml:space="preserve"> for receiver requirements</w:t>
      </w:r>
      <w:r>
        <w:rPr>
          <w:rFonts w:hint="default" w:eastAsia="宋体"/>
          <w:color w:val="auto"/>
          <w:sz w:val="21"/>
          <w:szCs w:val="21"/>
          <w:lang w:val="en-US" w:eastAsia="zh-CN"/>
        </w:rPr>
        <w:t>(</w:t>
      </w:r>
      <w:r>
        <w:rPr>
          <w:rFonts w:hint="eastAsia" w:eastAsia="宋体"/>
          <w:color w:val="auto"/>
          <w:sz w:val="21"/>
          <w:szCs w:val="21"/>
          <w:lang w:val="en-US" w:eastAsia="zh-CN"/>
        </w:rPr>
        <w:t xml:space="preserve">for both </w:t>
      </w:r>
      <w:r>
        <w:rPr>
          <w:rFonts w:hint="default" w:eastAsia="宋体"/>
          <w:color w:val="auto"/>
          <w:sz w:val="21"/>
          <w:szCs w:val="21"/>
          <w:lang w:val="en-US" w:eastAsia="zh-CN"/>
        </w:rPr>
        <w:t xml:space="preserve">peak EIS and EIS spherical coverage) </w:t>
      </w:r>
      <w:r>
        <w:rPr>
          <w:rFonts w:hint="eastAsia" w:eastAsia="宋体"/>
          <w:color w:val="auto"/>
          <w:sz w:val="21"/>
          <w:szCs w:val="21"/>
          <w:lang w:val="en-US" w:eastAsia="zh-CN"/>
        </w:rPr>
        <w:t>were</w:t>
      </w:r>
      <w:r>
        <w:rPr>
          <w:rFonts w:hint="default" w:eastAsia="宋体"/>
          <w:color w:val="auto"/>
          <w:sz w:val="21"/>
          <w:szCs w:val="21"/>
          <w:lang w:val="en-US" w:eastAsia="zh-CN"/>
        </w:rPr>
        <w:t xml:space="preserve"> introduced. The value of </w:t>
      </w:r>
      <w:r>
        <w:rPr>
          <w:rFonts w:hint="eastAsia" w:eastAsia="宋体"/>
          <w:color w:val="auto"/>
          <w:sz w:val="21"/>
          <w:szCs w:val="21"/>
          <w:lang w:val="en-US" w:eastAsia="zh-CN"/>
        </w:rPr>
        <w:t xml:space="preserve">such </w:t>
      </w:r>
      <w:r>
        <w:rPr>
          <w:rFonts w:hint="default" w:eastAsia="宋体"/>
          <w:color w:val="auto"/>
          <w:sz w:val="21"/>
          <w:szCs w:val="21"/>
          <w:lang w:val="en-US" w:eastAsia="zh-CN"/>
        </w:rPr>
        <w:t xml:space="preserve">relaxation </w:t>
      </w:r>
      <w:r>
        <w:rPr>
          <w:rFonts w:hint="eastAsia" w:eastAsia="宋体"/>
          <w:color w:val="auto"/>
          <w:sz w:val="21"/>
          <w:szCs w:val="21"/>
          <w:lang w:val="en-US" w:eastAsia="zh-CN"/>
        </w:rPr>
        <w:t xml:space="preserve">would varies </w:t>
      </w:r>
      <w:r>
        <w:rPr>
          <w:rFonts w:hint="default" w:eastAsia="宋体"/>
          <w:color w:val="auto"/>
          <w:sz w:val="21"/>
          <w:szCs w:val="21"/>
          <w:lang w:val="en-US" w:eastAsia="zh-CN"/>
        </w:rPr>
        <w:t xml:space="preserve">with the distance between two </w:t>
      </w:r>
      <w:r>
        <w:rPr>
          <w:rFonts w:hint="eastAsia" w:eastAsia="宋体"/>
          <w:color w:val="auto"/>
          <w:sz w:val="21"/>
          <w:szCs w:val="21"/>
          <w:lang w:val="en-US" w:eastAsia="zh-CN"/>
        </w:rPr>
        <w:t xml:space="preserve">cells </w:t>
      </w:r>
      <w:r>
        <w:rPr>
          <w:rFonts w:hint="default" w:eastAsia="宋体"/>
          <w:color w:val="auto"/>
          <w:sz w:val="21"/>
          <w:szCs w:val="21"/>
          <w:lang w:val="en-US" w:eastAsia="zh-CN"/>
        </w:rPr>
        <w:t xml:space="preserve">in the frequency domain. For Inter-band CA, in addition to CA relaxation, </w:t>
      </w:r>
      <w:r>
        <w:rPr>
          <w:rFonts w:hint="eastAsia" w:eastAsia="宋体"/>
          <w:color w:val="auto"/>
          <w:sz w:val="21"/>
          <w:szCs w:val="21"/>
          <w:lang w:val="en-US" w:eastAsia="zh-CN"/>
        </w:rPr>
        <w:t xml:space="preserve">additional </w:t>
      </w:r>
      <w:r>
        <w:rPr>
          <w:rFonts w:hint="default" w:eastAsia="宋体"/>
          <w:color w:val="auto"/>
          <w:sz w:val="21"/>
          <w:szCs w:val="21"/>
          <w:lang w:val="en-US" w:eastAsia="zh-CN"/>
        </w:rPr>
        <w:t xml:space="preserve">inter-band CA relaxation </w:t>
      </w:r>
      <w:r>
        <w:rPr>
          <w:rFonts w:hint="eastAsia" w:eastAsia="宋体"/>
          <w:color w:val="auto"/>
          <w:sz w:val="21"/>
          <w:szCs w:val="21"/>
          <w:lang w:val="en-US" w:eastAsia="zh-CN"/>
        </w:rPr>
        <w:t xml:space="preserve">was added which </w:t>
      </w:r>
      <w:r>
        <w:rPr>
          <w:rFonts w:hint="default" w:eastAsia="宋体"/>
          <w:color w:val="auto"/>
          <w:sz w:val="21"/>
          <w:szCs w:val="21"/>
          <w:lang w:val="en-US" w:eastAsia="zh-CN"/>
        </w:rPr>
        <w:t>caused by the introduction of additional components.</w:t>
      </w:r>
      <w:r>
        <w:rPr>
          <w:rFonts w:hint="eastAsia" w:eastAsia="宋体"/>
          <w:color w:val="auto"/>
          <w:sz w:val="21"/>
          <w:szCs w:val="21"/>
          <w:lang w:val="en-US" w:eastAsia="zh-CN"/>
        </w:rPr>
        <w:t xml:space="preserve"> </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But </w:t>
      </w:r>
      <w:r>
        <w:rPr>
          <w:rFonts w:hint="eastAsia" w:eastAsia="宋体"/>
          <w:color w:val="auto"/>
          <w:sz w:val="21"/>
          <w:szCs w:val="21"/>
          <w:highlight w:val="none"/>
          <w:lang w:val="en-US" w:eastAsia="zh-CN"/>
        </w:rPr>
        <w:t>for the case of co-located inter-band CA</w:t>
      </w:r>
      <w:r>
        <w:rPr>
          <w:rFonts w:hint="eastAsia" w:eastAsia="宋体"/>
          <w:color w:val="auto"/>
          <w:sz w:val="21"/>
          <w:szCs w:val="21"/>
          <w:lang w:val="en-US" w:eastAsia="zh-CN"/>
        </w:rPr>
        <w:t xml:space="preserve"> with IBM, considering the assumption of test is 1 AoA, so without any additional enhancement for EIS spherical coverage approved during Rel-16. If without dual AoA consideration during Rel-17, we suggest not introduce enhancement of EIS spherical coverage requirement and other receiver requirements. </w:t>
      </w:r>
    </w:p>
    <w:p>
      <w:pPr>
        <w:numPr>
          <w:ilvl w:val="0"/>
          <w:numId w:val="0"/>
        </w:num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Not need to enhance receiver requirements for multi-panel reception with the assumption of 1 AoA test.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We noticed that Some compant has proposed to consider 2 AoA test for multi-panel reception in Rel-18 in recent RAN meeting. We believe at least for R17, RAN4 should not consider such major chang</w:t>
      </w:r>
      <w:bookmarkStart w:id="5" w:name="_GoBack"/>
      <w:bookmarkEnd w:id="5"/>
      <w:r>
        <w:rPr>
          <w:rFonts w:hint="eastAsia" w:eastAsia="宋体"/>
          <w:color w:val="auto"/>
          <w:sz w:val="21"/>
          <w:szCs w:val="21"/>
          <w:lang w:val="en-US" w:eastAsia="zh-CN"/>
        </w:rPr>
        <w:t xml:space="preserve">e, since the improvement from 1 AoA to 2 AoA will bring great impact to existing RF test system and methodology. So considering 2 AoA from Rel-18 is feasible and operable. The 2 AoA discussion needs cooperation between RAN4 and RAN5. So we can further check whether </w:t>
      </w:r>
      <w:bookmarkStart w:id="4" w:name="OLE_LINK2"/>
      <w:r>
        <w:rPr>
          <w:rFonts w:hint="eastAsia" w:eastAsia="宋体"/>
          <w:color w:val="auto"/>
          <w:sz w:val="21"/>
          <w:szCs w:val="21"/>
          <w:lang w:val="en-US" w:eastAsia="zh-CN"/>
        </w:rPr>
        <w:t>EIS spherical coverage requirement needs to be improved with the assumption of 2 AoA test in future Rel-18.</w:t>
      </w:r>
      <w:bookmarkEnd w:id="4"/>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Considering improvement of 2 AoA test assumption in future Rel-18 is feasible and operable. We can further check whether EIS spherical coverage requirement needs to be improved with the assumption of 2 AoA test in future Rel-18.</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About the RRM impact, we believe it is realistic to specify RRM related requirements in Rel-18 due to the urgent timeline in Rel-17 and without any RF requirements enhancements defined until now. Simultaneous reception with different QCL type D would impact multiple RRM requirements since the Rx beam sweeping would be more efficient than legacy. So, concrete discussion about RRM impacts would be held during Rel-18.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For the RRM impact due to simultaneous reception with different QCL type D, which should be discussed during Rel-18.</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impact of multi-panel receiving</w:t>
      </w:r>
      <w:r>
        <w:rPr>
          <w:rFonts w:eastAsia="宋体"/>
          <w:bCs/>
          <w:color w:val="auto"/>
          <w:sz w:val="21"/>
          <w:szCs w:val="21"/>
          <w:lang w:val="en-GB" w:eastAsia="zh-CN"/>
        </w:rPr>
        <w:t>:</w:t>
      </w:r>
    </w:p>
    <w:p>
      <w:pPr>
        <w:numPr>
          <w:ilvl w:val="0"/>
          <w:numId w:val="0"/>
        </w:num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Not need to enhance receiver requirements for multi-panel reception with the assumption of 1 AoA test.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Considering improvement of 2 AoA test assumption in future Rel-18 is feasible and operable. We can further check whether EIS spherical coverage requirement needs to be improved with the assumption of 2 AoA test in future Rel-18.</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For the RRM impact due to simultaneous reception with different QCL type D, which should be discussed during Rel-18.</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120006</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FeMIMO RF</w:t>
      </w:r>
      <w:r>
        <w:rPr>
          <w:rFonts w:hint="default"/>
          <w:color w:val="auto"/>
          <w:lang w:val="en-US" w:eastAsia="zh-CN"/>
        </w:rPr>
        <w:t>”</w:t>
      </w:r>
      <w:r>
        <w:rPr>
          <w:rFonts w:hint="eastAsia"/>
          <w:color w:val="auto"/>
          <w:lang w:val="en-US" w:eastAsia="zh-CN"/>
        </w:rPr>
        <w:t>, Samsung.</w:t>
      </w:r>
    </w:p>
    <w:p>
      <w:pPr>
        <w:pStyle w:val="8"/>
        <w:rPr>
          <w:color w:val="auto"/>
        </w:rPr>
      </w:pPr>
      <w:r>
        <w:rPr>
          <w:rFonts w:hint="eastAsia"/>
          <w:color w:val="auto"/>
          <w:lang w:val="en-US" w:eastAsia="zh-CN"/>
        </w:rPr>
        <w:t xml:space="preserve">R4-2202370, </w:t>
      </w:r>
      <w:r>
        <w:rPr>
          <w:rFonts w:hint="default"/>
          <w:color w:val="auto"/>
          <w:lang w:val="en-US" w:eastAsia="zh-CN"/>
        </w:rPr>
        <w:t>“WF on remaining issues of FeMIMO”</w:t>
      </w:r>
      <w:r>
        <w:rPr>
          <w:rFonts w:hint="eastAsia"/>
          <w:color w:val="auto"/>
          <w:lang w:val="en-US" w:eastAsia="zh-CN"/>
        </w:rPr>
        <w:t>, Samsung.</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9A3639"/>
    <w:multiLevelType w:val="singleLevel"/>
    <w:tmpl w:val="B69A3639"/>
    <w:lvl w:ilvl="0" w:tentative="0">
      <w:start w:val="1"/>
      <w:numFmt w:val="bullet"/>
      <w:lvlText w:val=""/>
      <w:lvlJc w:val="left"/>
      <w:pPr>
        <w:tabs>
          <w:tab w:val="left" w:pos="420"/>
        </w:tabs>
        <w:ind w:left="840" w:hanging="420"/>
      </w:pPr>
      <w:rPr>
        <w:rFonts w:hint="default" w:ascii="Wingdings" w:hAnsi="Wingdings"/>
      </w:rPr>
    </w:lvl>
  </w:abstractNum>
  <w:abstractNum w:abstractNumId="1">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5">
    <w:nsid w:val="5898FBCB"/>
    <w:multiLevelType w:val="singleLevel"/>
    <w:tmpl w:val="5898FBCB"/>
    <w:lvl w:ilvl="0" w:tentative="0">
      <w:start w:val="1"/>
      <w:numFmt w:val="bullet"/>
      <w:lvlText w:val=""/>
      <w:lvlJc w:val="left"/>
      <w:pPr>
        <w:tabs>
          <w:tab w:val="left" w:pos="840"/>
        </w:tabs>
        <w:ind w:left="1260" w:hanging="420"/>
      </w:pPr>
      <w:rPr>
        <w:rFonts w:hint="default" w:ascii="Wingdings" w:hAnsi="Wingdings"/>
      </w:rPr>
    </w:lvl>
  </w:abstractNum>
  <w:abstractNum w:abstractNumId="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AA1695"/>
    <w:rsid w:val="07CD3CDD"/>
    <w:rsid w:val="0CC1076F"/>
    <w:rsid w:val="0CF9211F"/>
    <w:rsid w:val="0F4B67EF"/>
    <w:rsid w:val="0F5E2230"/>
    <w:rsid w:val="10845506"/>
    <w:rsid w:val="10DA5664"/>
    <w:rsid w:val="12CB53F3"/>
    <w:rsid w:val="13060AA5"/>
    <w:rsid w:val="16133E3F"/>
    <w:rsid w:val="16E7731D"/>
    <w:rsid w:val="17542C92"/>
    <w:rsid w:val="18AA5B3E"/>
    <w:rsid w:val="194122C5"/>
    <w:rsid w:val="19E55B24"/>
    <w:rsid w:val="1B5A5199"/>
    <w:rsid w:val="1BD31CD2"/>
    <w:rsid w:val="1F5C7CDA"/>
    <w:rsid w:val="205076B4"/>
    <w:rsid w:val="2082712A"/>
    <w:rsid w:val="21B11B74"/>
    <w:rsid w:val="231F3A56"/>
    <w:rsid w:val="24715F69"/>
    <w:rsid w:val="263D51AB"/>
    <w:rsid w:val="2B034D47"/>
    <w:rsid w:val="2CC92235"/>
    <w:rsid w:val="2D8824A9"/>
    <w:rsid w:val="2DBD3842"/>
    <w:rsid w:val="2DBD3CB8"/>
    <w:rsid w:val="2DEE03C6"/>
    <w:rsid w:val="2E1176AC"/>
    <w:rsid w:val="2ECB7AE0"/>
    <w:rsid w:val="2F196F3B"/>
    <w:rsid w:val="2F6A7113"/>
    <w:rsid w:val="30C973EB"/>
    <w:rsid w:val="33672BF5"/>
    <w:rsid w:val="3BE71048"/>
    <w:rsid w:val="3C4E1516"/>
    <w:rsid w:val="3D0F477C"/>
    <w:rsid w:val="3D6F2596"/>
    <w:rsid w:val="3F526555"/>
    <w:rsid w:val="3FF32B7B"/>
    <w:rsid w:val="404F7A6B"/>
    <w:rsid w:val="40C765F3"/>
    <w:rsid w:val="40CC463F"/>
    <w:rsid w:val="42CE6A0F"/>
    <w:rsid w:val="42E26F89"/>
    <w:rsid w:val="43C320E4"/>
    <w:rsid w:val="455509E4"/>
    <w:rsid w:val="45F60A50"/>
    <w:rsid w:val="46157ABD"/>
    <w:rsid w:val="46280997"/>
    <w:rsid w:val="477801EF"/>
    <w:rsid w:val="47DB43C5"/>
    <w:rsid w:val="4C1E2202"/>
    <w:rsid w:val="4CC53F61"/>
    <w:rsid w:val="4D513299"/>
    <w:rsid w:val="4D9B1B6B"/>
    <w:rsid w:val="4E6F0AEA"/>
    <w:rsid w:val="4EA56C23"/>
    <w:rsid w:val="4F0B3630"/>
    <w:rsid w:val="4F9305DC"/>
    <w:rsid w:val="4FBD6EC5"/>
    <w:rsid w:val="514C45A8"/>
    <w:rsid w:val="51B14BED"/>
    <w:rsid w:val="51B933E6"/>
    <w:rsid w:val="51CF00E7"/>
    <w:rsid w:val="52694892"/>
    <w:rsid w:val="52F664E7"/>
    <w:rsid w:val="52FE4FB2"/>
    <w:rsid w:val="540F54CE"/>
    <w:rsid w:val="54175BE1"/>
    <w:rsid w:val="544A23E1"/>
    <w:rsid w:val="560E743D"/>
    <w:rsid w:val="564B25D4"/>
    <w:rsid w:val="566165B2"/>
    <w:rsid w:val="56D06899"/>
    <w:rsid w:val="58E11E6E"/>
    <w:rsid w:val="590733E0"/>
    <w:rsid w:val="59E05DA7"/>
    <w:rsid w:val="5A151B9F"/>
    <w:rsid w:val="5A26004C"/>
    <w:rsid w:val="5C974364"/>
    <w:rsid w:val="5D103461"/>
    <w:rsid w:val="5F7F3C30"/>
    <w:rsid w:val="60552863"/>
    <w:rsid w:val="6086070B"/>
    <w:rsid w:val="63357437"/>
    <w:rsid w:val="6544784D"/>
    <w:rsid w:val="65CD0C5C"/>
    <w:rsid w:val="65F872D3"/>
    <w:rsid w:val="66E759DF"/>
    <w:rsid w:val="679A2012"/>
    <w:rsid w:val="68105991"/>
    <w:rsid w:val="68797DD1"/>
    <w:rsid w:val="68A411BE"/>
    <w:rsid w:val="6A030CE2"/>
    <w:rsid w:val="6BD66290"/>
    <w:rsid w:val="6C7858D5"/>
    <w:rsid w:val="6CF36133"/>
    <w:rsid w:val="6DDE3DAF"/>
    <w:rsid w:val="70A55C85"/>
    <w:rsid w:val="7123768D"/>
    <w:rsid w:val="715F4C2D"/>
    <w:rsid w:val="7204422E"/>
    <w:rsid w:val="734F70BE"/>
    <w:rsid w:val="76DB757D"/>
    <w:rsid w:val="77770209"/>
    <w:rsid w:val="77B7237F"/>
    <w:rsid w:val="7AB943F6"/>
    <w:rsid w:val="7C45431D"/>
    <w:rsid w:val="7C963B24"/>
    <w:rsid w:val="7DDD0501"/>
    <w:rsid w:val="7E2B63E7"/>
    <w:rsid w:val="7E935AFB"/>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2022-02-14T12:50:06Z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